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97801" w:rsidRDefault="00097801" w:rsidP="00097801">
      <w:pPr>
        <w:pStyle w:val="a4"/>
        <w:numPr>
          <w:ilvl w:val="0"/>
          <w:numId w:val="1"/>
        </w:numPr>
        <w:ind w:firstLineChars="0"/>
        <w:rPr>
          <w:rStyle w:val="a3"/>
          <w:rFonts w:ascii="仿宋" w:eastAsia="仿宋" w:hAnsi="仿宋" w:hint="eastAsia"/>
          <w:color w:val="000000"/>
          <w:sz w:val="29"/>
          <w:szCs w:val="29"/>
          <w:shd w:val="clear" w:color="auto" w:fill="FFFFFF"/>
        </w:rPr>
      </w:pPr>
      <w:r w:rsidRPr="00097801">
        <w:rPr>
          <w:rStyle w:val="a3"/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高层次人才</w:t>
      </w:r>
    </w:p>
    <w:p w:rsidR="00097801" w:rsidRPr="00097801" w:rsidRDefault="00097801" w:rsidP="00097801">
      <w:pPr>
        <w:pStyle w:val="a4"/>
        <w:numPr>
          <w:ilvl w:val="0"/>
          <w:numId w:val="1"/>
        </w:numPr>
        <w:shd w:val="clear" w:color="auto" w:fill="FFFFFF"/>
        <w:adjustRightInd/>
        <w:snapToGrid/>
        <w:spacing w:after="0" w:line="495" w:lineRule="atLeast"/>
        <w:ind w:firstLineChars="0"/>
        <w:jc w:val="center"/>
        <w:rPr>
          <w:rFonts w:ascii="宋体" w:eastAsia="宋体" w:hAnsi="宋体" w:cs="宋体"/>
          <w:color w:val="666666"/>
          <w:sz w:val="18"/>
          <w:szCs w:val="18"/>
        </w:rPr>
      </w:pPr>
      <w:r w:rsidRPr="00097801">
        <w:rPr>
          <w:rFonts w:ascii="仿宋" w:eastAsia="仿宋" w:hAnsi="仿宋" w:cs="宋体" w:hint="eastAsia"/>
          <w:b/>
          <w:bCs/>
          <w:color w:val="000000"/>
          <w:sz w:val="24"/>
          <w:szCs w:val="24"/>
        </w:rPr>
        <w:t>相关待遇基本标准一览表</w:t>
      </w:r>
    </w:p>
    <w:tbl>
      <w:tblPr>
        <w:tblW w:w="52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19"/>
        <w:gridCol w:w="755"/>
        <w:gridCol w:w="2731"/>
        <w:gridCol w:w="2544"/>
        <w:gridCol w:w="849"/>
        <w:gridCol w:w="659"/>
      </w:tblGrid>
      <w:tr w:rsidR="00097801" w:rsidRPr="00097801" w:rsidTr="00097801">
        <w:trPr>
          <w:trHeight w:val="885"/>
          <w:jc w:val="center"/>
        </w:trPr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引进人才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年薪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住房待遇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科研配套经费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聘用方式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及岗位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097801" w:rsidRPr="00097801" w:rsidTr="00097801">
        <w:trPr>
          <w:trHeight w:val="705"/>
          <w:jc w:val="center"/>
        </w:trPr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第一层次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80-120</w:t>
            </w:r>
          </w:p>
        </w:tc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right="-15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符合国家和学校政策的，可以优惠价格申购学校人才引进留用房一套（190平方米以上）；或提供相应额度的住房补贴</w:t>
            </w:r>
          </w:p>
        </w:tc>
        <w:tc>
          <w:tcPr>
            <w:tcW w:w="14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right="-15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在国家提供的科研启动经费基础上，学校根据学科平台条件给予相应科研配套。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事业编制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聘任正高岗位</w:t>
            </w:r>
          </w:p>
        </w:tc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75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为子女提供幼儿园、小学、中学等优质入学资源</w:t>
            </w:r>
          </w:p>
        </w:tc>
      </w:tr>
      <w:tr w:rsidR="00097801" w:rsidRPr="00097801" w:rsidTr="00097801">
        <w:trPr>
          <w:trHeight w:val="705"/>
          <w:jc w:val="center"/>
        </w:trPr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第二层次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60-100</w:t>
            </w:r>
          </w:p>
        </w:tc>
        <w:tc>
          <w:tcPr>
            <w:tcW w:w="15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right="-15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符合国家和学校政策的，可以优惠价格申购学校人才引进留用房一套（160平方米以上）；或提供不低于购房优惠额度的住房补贴（不低于200万元）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97801" w:rsidRPr="00097801" w:rsidTr="00097801">
        <w:trPr>
          <w:trHeight w:val="690"/>
          <w:jc w:val="center"/>
        </w:trPr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第三层次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270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在国家提供的科研经费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270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基础上，学校给予不低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270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于1：1科研配套。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97801" w:rsidRDefault="00097801" w:rsidP="00097801">
      <w:pPr>
        <w:rPr>
          <w:rFonts w:hint="eastAsia"/>
        </w:rPr>
      </w:pPr>
      <w:r>
        <w:rPr>
          <w:rStyle w:val="a3"/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(二)南京航空航天大学“长空学者”计划</w:t>
      </w:r>
    </w:p>
    <w:p w:rsidR="00097801" w:rsidRDefault="00097801" w:rsidP="00097801">
      <w:pPr>
        <w:rPr>
          <w:rFonts w:hint="eastAsia"/>
        </w:rPr>
      </w:pPr>
    </w:p>
    <w:p w:rsidR="00097801" w:rsidRPr="00097801" w:rsidRDefault="00097801" w:rsidP="00097801">
      <w:pPr>
        <w:shd w:val="clear" w:color="auto" w:fill="FFFFFF"/>
        <w:adjustRightInd/>
        <w:snapToGrid/>
        <w:spacing w:after="0" w:line="495" w:lineRule="atLeast"/>
        <w:ind w:left="-420" w:firstLine="315"/>
        <w:jc w:val="center"/>
        <w:rPr>
          <w:rFonts w:ascii="宋体" w:eastAsia="宋体" w:hAnsi="宋体" w:cs="宋体"/>
          <w:color w:val="666666"/>
          <w:sz w:val="18"/>
          <w:szCs w:val="18"/>
        </w:rPr>
      </w:pPr>
      <w:r w:rsidRPr="00097801">
        <w:rPr>
          <w:rFonts w:ascii="仿宋" w:eastAsia="仿宋" w:hAnsi="仿宋" w:cs="宋体" w:hint="eastAsia"/>
          <w:b/>
          <w:bCs/>
          <w:color w:val="000000"/>
          <w:sz w:val="24"/>
          <w:szCs w:val="24"/>
        </w:rPr>
        <w:br/>
        <w:t>相关待遇基本标准一览表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"/>
        <w:gridCol w:w="1667"/>
        <w:gridCol w:w="1405"/>
        <w:gridCol w:w="1405"/>
        <w:gridCol w:w="1405"/>
        <w:gridCol w:w="1581"/>
      </w:tblGrid>
      <w:tr w:rsidR="00097801" w:rsidRPr="00097801" w:rsidTr="00097801">
        <w:trPr>
          <w:trHeight w:val="855"/>
        </w:trPr>
        <w:tc>
          <w:tcPr>
            <w:tcW w:w="6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950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年薪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（万元/年）</w:t>
            </w:r>
          </w:p>
        </w:tc>
        <w:tc>
          <w:tcPr>
            <w:tcW w:w="800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研究生指标</w:t>
            </w:r>
          </w:p>
        </w:tc>
        <w:tc>
          <w:tcPr>
            <w:tcW w:w="800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科研条件</w:t>
            </w:r>
          </w:p>
        </w:tc>
        <w:tc>
          <w:tcPr>
            <w:tcW w:w="800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学术指导</w:t>
            </w:r>
          </w:p>
        </w:tc>
        <w:tc>
          <w:tcPr>
            <w:tcW w:w="900" w:type="pct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097801" w:rsidRPr="00097801" w:rsidTr="00097801">
        <w:trPr>
          <w:trHeight w:val="1170"/>
        </w:trPr>
        <w:tc>
          <w:tcPr>
            <w:tcW w:w="600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长空英才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right="-15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优先推荐参评博士生导师，“长空学者”聘期内增配博士或硕士研究生指标。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right="-15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优先保证入选者的办公用房和实验用房，在学科建设、组建学术梯队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right="-15" w:firstLine="45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等方面给与优先支持。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5" w:right="-15" w:firstLine="45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为入选者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right="-15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配备校内外导师，为其科研成长和学术发展作指导。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right="-15" w:firstLine="3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资助1-2次国际学术交流活动，优先推荐出国进修项目。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right="-15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为子女提供幼儿园、小学、中学等优质教育资源。</w:t>
            </w:r>
          </w:p>
        </w:tc>
      </w:tr>
      <w:tr w:rsidR="00097801" w:rsidRPr="00097801" w:rsidTr="00097801">
        <w:trPr>
          <w:trHeight w:val="960"/>
        </w:trPr>
        <w:tc>
          <w:tcPr>
            <w:tcW w:w="600" w:type="pct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长空之星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</w:tbl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  <w:r>
        <w:rPr>
          <w:rStyle w:val="a3"/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（三）常规师资</w:t>
      </w:r>
    </w:p>
    <w:p w:rsidR="00097801" w:rsidRPr="00097801" w:rsidRDefault="00097801" w:rsidP="00097801">
      <w:pPr>
        <w:shd w:val="clear" w:color="auto" w:fill="FFFFFF"/>
        <w:adjustRightInd/>
        <w:snapToGrid/>
        <w:spacing w:after="0" w:line="495" w:lineRule="atLeast"/>
        <w:ind w:left="-420" w:firstLine="360"/>
        <w:jc w:val="center"/>
        <w:rPr>
          <w:rFonts w:ascii="宋体" w:eastAsia="宋体" w:hAnsi="宋体" w:cs="宋体"/>
          <w:color w:val="666666"/>
          <w:sz w:val="18"/>
          <w:szCs w:val="18"/>
        </w:rPr>
      </w:pPr>
      <w:r w:rsidRPr="00097801">
        <w:rPr>
          <w:rFonts w:ascii="仿宋" w:eastAsia="仿宋" w:hAnsi="仿宋" w:cs="宋体" w:hint="eastAsia"/>
          <w:b/>
          <w:bCs/>
          <w:color w:val="000000"/>
          <w:sz w:val="29"/>
        </w:rPr>
        <w:t>相关待遇基本标准一览表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14"/>
        <w:gridCol w:w="2152"/>
        <w:gridCol w:w="2420"/>
        <w:gridCol w:w="2330"/>
      </w:tblGrid>
      <w:tr w:rsidR="00097801" w:rsidRPr="00097801" w:rsidTr="00097801">
        <w:trPr>
          <w:trHeight w:val="1785"/>
          <w:jc w:val="center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岗位类别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工作启动基金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住房补贴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（元/月,不超过6年）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097801" w:rsidRPr="00097801" w:rsidTr="00097801">
        <w:trPr>
          <w:trHeight w:val="705"/>
          <w:jc w:val="center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博士/讲师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3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学校按照相关文件规定提供引进人才过渡房或单身公寓租住。</w:t>
            </w:r>
          </w:p>
        </w:tc>
      </w:tr>
      <w:tr w:rsidR="00097801" w:rsidRPr="00097801" w:rsidTr="00097801">
        <w:trPr>
          <w:trHeight w:val="705"/>
          <w:jc w:val="center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97801" w:rsidRPr="00097801" w:rsidTr="00097801">
        <w:trPr>
          <w:trHeight w:val="690"/>
          <w:jc w:val="center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  <w:bookmarkStart w:id="0" w:name="_Toc462486791"/>
      <w:r>
        <w:rPr>
          <w:rStyle w:val="a3"/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（四）外籍教师</w:t>
      </w:r>
      <w:bookmarkEnd w:id="0"/>
    </w:p>
    <w:p w:rsidR="00097801" w:rsidRPr="00097801" w:rsidRDefault="00097801" w:rsidP="00097801">
      <w:pPr>
        <w:shd w:val="clear" w:color="auto" w:fill="FFFFFF"/>
        <w:adjustRightInd/>
        <w:snapToGrid/>
        <w:spacing w:after="0" w:line="435" w:lineRule="atLeast"/>
        <w:jc w:val="center"/>
        <w:rPr>
          <w:rFonts w:ascii="宋体" w:eastAsia="宋体" w:hAnsi="宋体" w:cs="宋体"/>
          <w:color w:val="666666"/>
          <w:sz w:val="18"/>
          <w:szCs w:val="18"/>
        </w:rPr>
      </w:pPr>
      <w:r w:rsidRPr="00097801">
        <w:rPr>
          <w:rFonts w:ascii="仿宋" w:eastAsia="仿宋" w:hAnsi="仿宋" w:cs="宋体" w:hint="eastAsia"/>
          <w:b/>
          <w:bCs/>
          <w:color w:val="000000"/>
          <w:sz w:val="29"/>
        </w:rPr>
        <w:t>相关待遇基本标准一览表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78"/>
        <w:gridCol w:w="1667"/>
        <w:gridCol w:w="2371"/>
      </w:tblGrid>
      <w:tr w:rsidR="00097801" w:rsidRPr="00097801" w:rsidTr="00097801">
        <w:trPr>
          <w:trHeight w:val="43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年薪</w:t>
            </w:r>
          </w:p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（万美元）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ind w:left="-420" w:right="-15" w:firstLine="3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其它</w:t>
            </w:r>
          </w:p>
        </w:tc>
      </w:tr>
      <w:tr w:rsidR="00097801" w:rsidRPr="00097801" w:rsidTr="00097801">
        <w:trPr>
          <w:trHeight w:val="58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入选国家级人才工程的特聘教授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学校按照相关文件规定提供引进人才过渡房或单身公寓租住。</w:t>
            </w:r>
          </w:p>
        </w:tc>
      </w:tr>
      <w:tr w:rsidR="00097801" w:rsidRPr="00097801" w:rsidTr="00097801">
        <w:trPr>
          <w:trHeight w:val="58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入选省部级人才工程的特聘教授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97801" w:rsidRPr="00097801" w:rsidTr="00097801">
        <w:trPr>
          <w:trHeight w:val="58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97801" w:rsidRPr="00097801" w:rsidTr="00097801">
        <w:trPr>
          <w:trHeight w:val="58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副教授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97801" w:rsidRPr="00097801" w:rsidTr="00097801">
        <w:trPr>
          <w:trHeight w:val="585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博士/讲师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  <w:bookmarkStart w:id="1" w:name="_Toc462486792"/>
      <w:r>
        <w:rPr>
          <w:rStyle w:val="a3"/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（五）博士后研究人员</w:t>
      </w:r>
      <w:bookmarkEnd w:id="1"/>
    </w:p>
    <w:p w:rsidR="00097801" w:rsidRDefault="00097801" w:rsidP="00097801">
      <w:pPr>
        <w:rPr>
          <w:rFonts w:hint="eastAsia"/>
        </w:rPr>
      </w:pPr>
    </w:p>
    <w:p w:rsidR="00097801" w:rsidRPr="00097801" w:rsidRDefault="00097801" w:rsidP="00097801">
      <w:pPr>
        <w:shd w:val="clear" w:color="auto" w:fill="FFFFFF"/>
        <w:adjustRightInd/>
        <w:snapToGrid/>
        <w:spacing w:after="0" w:line="435" w:lineRule="atLeast"/>
        <w:jc w:val="center"/>
        <w:rPr>
          <w:rFonts w:ascii="宋体" w:eastAsia="宋体" w:hAnsi="宋体" w:cs="宋体"/>
          <w:color w:val="666666"/>
          <w:sz w:val="18"/>
          <w:szCs w:val="18"/>
        </w:rPr>
      </w:pPr>
      <w:r w:rsidRPr="00097801">
        <w:rPr>
          <w:rFonts w:ascii="仿宋" w:eastAsia="仿宋" w:hAnsi="仿宋" w:cs="宋体" w:hint="eastAsia"/>
          <w:b/>
          <w:bCs/>
          <w:color w:val="000000"/>
          <w:sz w:val="29"/>
        </w:rPr>
        <w:t>相关待遇基本标准一览表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780"/>
        <w:gridCol w:w="1820"/>
        <w:gridCol w:w="2081"/>
        <w:gridCol w:w="1561"/>
        <w:gridCol w:w="1127"/>
      </w:tblGrid>
      <w:tr w:rsidR="00097801" w:rsidRPr="00097801" w:rsidTr="00097801">
        <w:trPr>
          <w:trHeight w:val="390"/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年薪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职称评定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海外培训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择优选留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097801" w:rsidRPr="00097801" w:rsidTr="00097801">
        <w:trPr>
          <w:trHeight w:val="390"/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国内</w:t>
            </w:r>
          </w:p>
          <w:p w:rsidR="00097801" w:rsidRPr="00097801" w:rsidRDefault="00097801" w:rsidP="00097801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18万元起上不封顶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博士后研究人员出站后，经本人申请、院校审核批准后，可推荐</w:t>
            </w: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参加职称评审，指标单列﹡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支持博士后研究人员出国（境）与国际知名大学或研究机构开展科研合作</w:t>
            </w: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与学术交流，出国合作经费由学校和设岗单位（含合作导师）按1:1承担。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被评为优秀博士后的人选可优先申报学校专任教师岗位</w:t>
            </w: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或专职科研岗位。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其它待遇参照学校“非升即走”专任</w:t>
            </w: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教师待遇执行，可就近安排入住学校公寓。</w:t>
            </w:r>
          </w:p>
        </w:tc>
      </w:tr>
      <w:tr w:rsidR="00097801" w:rsidRPr="00097801" w:rsidTr="00097801">
        <w:trPr>
          <w:trHeight w:val="390"/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外籍</w:t>
            </w:r>
          </w:p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博士后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3-5万美元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97801" w:rsidRPr="00097801" w:rsidRDefault="00097801" w:rsidP="00097801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780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7801" w:rsidRPr="00097801" w:rsidRDefault="00097801" w:rsidP="0009780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</w:p>
    <w:p w:rsidR="00097801" w:rsidRDefault="00097801" w:rsidP="00097801">
      <w:pPr>
        <w:rPr>
          <w:rFonts w:hint="eastAsia"/>
        </w:rPr>
      </w:pPr>
    </w:p>
    <w:p w:rsidR="00097801" w:rsidRDefault="00097801" w:rsidP="00097801"/>
    <w:sectPr w:rsidR="0009780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4B3"/>
    <w:multiLevelType w:val="hybridMultilevel"/>
    <w:tmpl w:val="4670C8D6"/>
    <w:lvl w:ilvl="0" w:tplc="9404D470">
      <w:start w:val="1"/>
      <w:numFmt w:val="japaneseCounting"/>
      <w:lvlText w:val="（%1）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7801"/>
    <w:rsid w:val="00097801"/>
    <w:rsid w:val="00323B43"/>
    <w:rsid w:val="003D37D8"/>
    <w:rsid w:val="004358AB"/>
    <w:rsid w:val="008B7726"/>
    <w:rsid w:val="00A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801"/>
    <w:rPr>
      <w:b/>
      <w:bCs/>
    </w:rPr>
  </w:style>
  <w:style w:type="paragraph" w:styleId="a4">
    <w:name w:val="List Paragraph"/>
    <w:basedOn w:val="a"/>
    <w:uiPriority w:val="34"/>
    <w:qFormat/>
    <w:rsid w:val="00097801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09780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2020-03-19T02:09:00Z</dcterms:created>
  <dcterms:modified xsi:type="dcterms:W3CDTF">2020-03-19T02:12:00Z</dcterms:modified>
</cp:coreProperties>
</file>