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6ED"/>
          <w:lang w:val="en-US" w:eastAsia="zh-CN" w:bidi="ar"/>
        </w:rPr>
        <w:t>（二）长空学者计划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6ED"/>
          <w:lang w:val="en-US" w:eastAsia="zh-CN" w:bidi="ar"/>
        </w:rPr>
        <w:t> </w:t>
      </w:r>
    </w:p>
    <w:tbl>
      <w:tblPr>
        <w:tblStyle w:val="3"/>
        <w:tblW w:w="112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2601"/>
        <w:gridCol w:w="1792"/>
        <w:gridCol w:w="1309"/>
        <w:gridCol w:w="1464"/>
        <w:gridCol w:w="1637"/>
        <w:gridCol w:w="14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1"/>
                <w:szCs w:val="21"/>
              </w:rPr>
              <w:t>类别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1"/>
                <w:szCs w:val="21"/>
              </w:rPr>
              <w:t>引聘对象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1"/>
                <w:szCs w:val="21"/>
              </w:rPr>
              <w:t>人才津贴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1"/>
                <w:szCs w:val="21"/>
              </w:rPr>
              <w:t>（万元/年）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1"/>
                <w:szCs w:val="21"/>
              </w:rPr>
              <w:t>指标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1"/>
                <w:szCs w:val="21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1"/>
                <w:szCs w:val="21"/>
              </w:rPr>
              <w:t>条件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1"/>
                <w:szCs w:val="21"/>
              </w:rPr>
              <w:t>学术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1"/>
                <w:szCs w:val="21"/>
              </w:rPr>
              <w:t>指导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tblCellSpacing w:w="0" w:type="dxa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长空英才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已在相关学术领域崭露头角，且具有较大学术发展潜力的优秀中青年人才，以入选国家级高端人才计划为培养目标。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（年薪约40万）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优先推荐参评博士生导师，每年增配博士或硕士研究生指标。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优先保证入选者的办公用房和实验用房，在学科建设、组建学术梯队等方面给予优先支持。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为每个入选者配备校内外导师，为其科研成长和学术发展作指导。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资助1-2次国际学术交流活动，优先推荐出国进修项目。为子女提供幼儿园、小学、中学等优质教育资源。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长空之星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具有较大学术发展潜力的优秀青年人才，以入选国家级青年人才计划为培养目标。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（年薪约30万）</w:t>
            </w:r>
          </w:p>
        </w:tc>
        <w:tc>
          <w:tcPr>
            <w:tcW w:w="114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6ED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119E5"/>
    <w:rsid w:val="7531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2020-02-12T08:54:00Z</dcterms:created>
  <dc:creator>那时花开咖啡馆。</dc:creator>
  <cp:lastModifiedBy>那时花开咖啡馆。</cp:lastModifiedBy>
  <dcterms:modified xsi:type="dcterms:W3CDTF">2020-02-12T08:56:48Z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